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Juvenile Delinquency: Intervention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Juvenile Delinquency: Intervention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The research aimed to explore the efforts to reduce cases of juvenile delinquency applied by parents, communities, and states. Juvenile delinquency is a concern in contemporary society since cases of criminal acts by the minors count high. Further, the research asserted that modern court witnessed the rise of juvenile delinquencies, as many situations presented in court, involved children under the age of 18 years. The study found that some states have laws that govern juvenile justice. This leads to the enactment of a minor code which guides the court and any relevant party to arrive a decision during the giving of judgment to a juvenile criminal (</w:t>
      </w:r>
      <w:r>
        <w:rPr>
          <w:rFonts w:ascii="Times New Roman" w:cs="Times New Roman" w:hAnsi="Times New Roman"/>
          <w:sz w:val="24"/>
          <w:szCs w:val="24"/>
        </w:rPr>
        <w:t>Krohn</w:t>
      </w:r>
      <w:r>
        <w:rPr>
          <w:rFonts w:ascii="Times New Roman" w:cs="Times New Roman" w:hAnsi="Times New Roman"/>
          <w:sz w:val="24"/>
          <w:szCs w:val="24"/>
        </w:rPr>
        <w:t xml:space="preserve"> &amp; Lanes, 2015). According to the research, the rate at which the minors commit juvenile delinquencies was increasingly high because of lack of proper communication at the family level, single parenting and post-family break traumas, poverty and lack of social and moral training (Greenwald, 2014). It asserted that, when the minors commit a mistake which goes uncorrected, it becomes a habit which develops to personality. At this level, it becomes hard for the family or the general public to intervene and impact positively of the behavior of the minor. Therefore, the researcher explored the effectiveness of intervention programs to juvenile delinquencies at the family, church, and school and government and NGOs level.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Problem Statement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 Researches hold that juvenile offenders act out of disabilities associated with personal identity. According to the research, the personality issues start during the early life of an individual due to lack of family love, agony caused by misfortunes such as the death of parent or guardian, breaking away of family, poverty and other social problems that face the minors. In </w:t>
      </w:r>
      <w:r>
        <w:rPr>
          <w:rFonts w:ascii="Times New Roman" w:cs="Times New Roman" w:hAnsi="Times New Roman"/>
          <w:sz w:val="24"/>
          <w:szCs w:val="24"/>
        </w:rPr>
        <w:t xml:space="preserve">short, the disabilities may be </w:t>
      </w:r>
      <w:r>
        <w:rPr>
          <w:rFonts w:ascii="Times New Roman" w:cs="Times New Roman" w:hAnsi="Times New Roman"/>
          <w:sz w:val="24"/>
          <w:szCs w:val="24"/>
        </w:rPr>
        <w:t>developmental</w:t>
      </w:r>
      <w:r>
        <w:rPr>
          <w:rFonts w:ascii="Times New Roman" w:cs="Times New Roman" w:hAnsi="Times New Roman"/>
          <w:sz w:val="24"/>
          <w:szCs w:val="24"/>
        </w:rPr>
        <w:t>, learning-related, emotional, and behavioral but propelled by the mentioned factors.  Also, research statistics collected from various facilities that deals with juvenile delinquencies or rehabilitation of minors showed that between 60 to 75 percent of these offenders had or got diagnosed with either one or two disabilities such as conduct and anxiety disorders, depression and Attention Deficit Hyperactive Disorder (ADHD) (</w:t>
      </w:r>
      <w:r>
        <w:rPr>
          <w:rFonts w:ascii="Times New Roman" w:cs="Times New Roman" w:hAnsi="Times New Roman"/>
          <w:sz w:val="24"/>
          <w:szCs w:val="24"/>
        </w:rPr>
        <w:t>Burfeind</w:t>
      </w:r>
      <w:r>
        <w:rPr>
          <w:rFonts w:ascii="Times New Roman" w:cs="Times New Roman" w:hAnsi="Times New Roman"/>
          <w:sz w:val="24"/>
          <w:szCs w:val="24"/>
        </w:rPr>
        <w:t xml:space="preserve"> &amp; </w:t>
      </w:r>
      <w:r>
        <w:rPr>
          <w:rFonts w:ascii="Times New Roman" w:cs="Times New Roman" w:hAnsi="Times New Roman"/>
          <w:sz w:val="24"/>
          <w:szCs w:val="24"/>
        </w:rPr>
        <w:t>Bartusch</w:t>
      </w:r>
      <w:r>
        <w:rPr>
          <w:rFonts w:ascii="Times New Roman" w:cs="Times New Roman" w:hAnsi="Times New Roman"/>
          <w:sz w:val="24"/>
          <w:szCs w:val="24"/>
        </w:rPr>
        <w:t>, 2011). Therefore, the problem statement which the research addressed is that juvenile delinquency was motivated by personality disabilities, which develop as minors interact and experience with people and situations in their immediate environment.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Purpose Statement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The research purposed to find a solution to the increasing rate of crimes committed by the minors. The study, therefore, aimed at proposing possible solutions to the problem of juvenile delinquency by discussing the prevention approaches to the developing personality disabilities and intervention methods that social institutions like the family, church, school, social clubs, and the government could adopt to curb the problem of juvenile delinquencies. The research pointed out that, it was essential for a person to understand that if he or she had a specific </w:t>
      </w:r>
      <w:r>
        <w:rPr>
          <w:rFonts w:ascii="Times New Roman" w:cs="Times New Roman" w:hAnsi="Times New Roman"/>
          <w:sz w:val="24"/>
          <w:szCs w:val="24"/>
        </w:rPr>
        <w:t>disability,</w:t>
      </w:r>
      <w:r>
        <w:rPr>
          <w:rFonts w:ascii="Times New Roman" w:cs="Times New Roman" w:hAnsi="Times New Roman"/>
          <w:sz w:val="24"/>
          <w:szCs w:val="24"/>
        </w:rPr>
        <w:t xml:space="preserve"> it did not mean they were likely to be involved in criminal or delinquent behavior (Greenwald, 2014). The study sought to enable different stakeholders in the social institutions and organization dealing with the youth such as parents, teachers, and other members of the society on how they could gain awareness on disability. Also noteworthy was the identification of teenagers who struggled with personal identity and intervened before their problematic behavior became a habit. According to the research, the various children handling institution and organization would learn to fight the stress and depression, learning challenges, adversities of </w:t>
      </w:r>
      <w:r>
        <w:rPr>
          <w:rFonts w:ascii="Times New Roman" w:cs="Times New Roman" w:hAnsi="Times New Roman"/>
          <w:sz w:val="24"/>
          <w:szCs w:val="24"/>
        </w:rPr>
        <w:t>groupthink among the minors and other developmental disabilities which might motivate juvenile delinquencies.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Research Questions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The question</w:t>
      </w:r>
      <w:r>
        <w:rPr>
          <w:rFonts w:ascii="Times New Roman" w:cs="Times New Roman" w:hAnsi="Times New Roman"/>
          <w:sz w:val="24"/>
          <w:szCs w:val="24"/>
        </w:rPr>
        <w:t>s</w:t>
      </w:r>
      <w:r>
        <w:rPr>
          <w:rFonts w:ascii="Times New Roman" w:cs="Times New Roman" w:hAnsi="Times New Roman"/>
          <w:sz w:val="24"/>
          <w:szCs w:val="24"/>
        </w:rPr>
        <w:t xml:space="preserve"> which guided the research </w:t>
      </w:r>
      <w:r>
        <w:rPr>
          <w:rFonts w:ascii="Times New Roman" w:cs="Times New Roman" w:hAnsi="Times New Roman"/>
          <w:sz w:val="24"/>
          <w:szCs w:val="24"/>
        </w:rPr>
        <w:t>were</w:t>
      </w:r>
      <w:r>
        <w:rPr>
          <w:rFonts w:ascii="Times New Roman" w:cs="Times New Roman" w:hAnsi="Times New Roman"/>
          <w:sz w:val="24"/>
          <w:szCs w:val="24"/>
        </w:rPr>
        <w:t xml:space="preserve"> the following:</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Did parents and guardians take time to interact with their children at the early developmental stages?</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Did the parents and guardians know the pattern of behavior of their children and whether the children experienced developments disabilities?</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What were the various undertakings which the school adapted to ensure learners behaved by the set school rules and the norms of the larger society?</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Did the school seek to know if a particular minor faced any traumatic event in his or her life recently?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Significance </w:t>
      </w:r>
      <w:r>
        <w:rPr>
          <w:rFonts w:ascii="Times New Roman" w:cs="Times New Roman" w:hAnsi="Times New Roman"/>
          <w:sz w:val="24"/>
          <w:szCs w:val="24"/>
        </w:rPr>
        <w:t>of the Study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T</w:t>
      </w:r>
      <w:r>
        <w:rPr>
          <w:rFonts w:ascii="Times New Roman" w:cs="Times New Roman" w:hAnsi="Times New Roman"/>
          <w:sz w:val="24"/>
          <w:szCs w:val="24"/>
        </w:rPr>
        <w:t>he research aimed at enabling different social institutions dealing with the child to reduce the chances of committing crimes</w:t>
      </w:r>
      <w:r>
        <w:rPr>
          <w:rFonts w:ascii="Times New Roman" w:cs="Times New Roman" w:hAnsi="Times New Roman"/>
          <w:sz w:val="24"/>
          <w:szCs w:val="24"/>
        </w:rPr>
        <w:t>.</w:t>
      </w:r>
      <w:r>
        <w:rPr>
          <w:rFonts w:ascii="Times New Roman" w:cs="Times New Roman" w:hAnsi="Times New Roman"/>
          <w:sz w:val="24"/>
          <w:szCs w:val="24"/>
        </w:rPr>
        <w:t xml:space="preserve">  The groups mentioned strived to stop the development of the disability and instead imparted in the minds of the children the sense of doing what morality acceptable by the society was. The study would also be significant in the raising awareness among various stakeholders in the community about paying attention to the critical problem and academic patterns that might point out to a specific disability (</w:t>
      </w:r>
      <w:r>
        <w:rPr>
          <w:rFonts w:ascii="Times New Roman" w:cs="Times New Roman" w:hAnsi="Times New Roman"/>
          <w:sz w:val="24"/>
          <w:szCs w:val="24"/>
        </w:rPr>
        <w:t>Krohn</w:t>
      </w:r>
      <w:r>
        <w:rPr>
          <w:rFonts w:ascii="Times New Roman" w:cs="Times New Roman" w:hAnsi="Times New Roman"/>
          <w:sz w:val="24"/>
          <w:szCs w:val="24"/>
        </w:rPr>
        <w:t xml:space="preserve"> &amp; Lanes, 2015). Lastly, the paper explored the involvement of various state governments in the eradication of poverty and enforcement of laws that govern active bringing up of the minor citizens.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Findings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1.    The Role of the State in Intervening Juvenile Delinquency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research found that some states had laws that give direction to dealing with cases related to Juvenile delinquencies. They also presented a guideline to how various institutions prevented and intervened with situations involving juvenile offenders. For example, the research revealed that a state like Colorado sets aside finances to support the early prevention and intervention programs in issues affecting children. The government undertakes to raise a whole generation not only in physiological functions of the body but also morale- wise (Underwood &amp; Washington, 2016). It was evident that states whose citizen’s behaved morally attracted development because incidences of crime were low hence low rooting of states resources. In the meantime, various countries had focused on endeavoring on accomplices so as to address evasion issues. One major area which most state governments supported was early childhood care and education. The research found that early childhood interventions are crucial in preventing juvenile delinquency. Child delinquency can occur as early as age two due to factors such as inattentive, aggressive, and behavior related to sensation seeking. However, children portraying such actions may change to responsible and well- behaved adults if parents, teacher, and the community consider the use of the following factors:</w:t>
      </w:r>
    </w:p>
    <w:p>
      <w:pPr>
        <w:pStyle w:val="style179"/>
        <w:numPr>
          <w:ilvl w:val="0"/>
          <w:numId w:val="2"/>
        </w:numPr>
        <w:spacing w:lineRule="auto" w:line="480"/>
        <w:jc w:val="both"/>
        <w:rPr>
          <w:rFonts w:ascii="Times New Roman" w:cs="Times New Roman" w:hAnsi="Times New Roman"/>
          <w:sz w:val="24"/>
          <w:szCs w:val="24"/>
        </w:rPr>
      </w:pPr>
      <w:r>
        <w:rPr>
          <w:rFonts w:ascii="Times New Roman" w:cs="Times New Roman" w:hAnsi="Times New Roman"/>
          <w:sz w:val="24"/>
          <w:szCs w:val="24"/>
        </w:rPr>
        <w:t>The use of convenient language. Typically, the language which parents and the general population use can affect the behavior of the children. The word learned by children may bring stress and affect their socialization. The same problem manifests itself when they become adults.</w:t>
      </w:r>
    </w:p>
    <w:p>
      <w:pPr>
        <w:pStyle w:val="style179"/>
        <w:numPr>
          <w:ilvl w:val="0"/>
          <w:numId w:val="2"/>
        </w:numPr>
        <w:spacing w:lineRule="auto" w:line="480"/>
        <w:jc w:val="both"/>
        <w:rPr>
          <w:rFonts w:ascii="Times New Roman" w:cs="Times New Roman" w:hAnsi="Times New Roman"/>
          <w:sz w:val="24"/>
          <w:szCs w:val="24"/>
        </w:rPr>
      </w:pPr>
      <w:r>
        <w:rPr>
          <w:rFonts w:ascii="Times New Roman" w:cs="Times New Roman" w:hAnsi="Times New Roman"/>
          <w:sz w:val="24"/>
          <w:szCs w:val="24"/>
        </w:rPr>
        <w:t>Positive socialization. Adults need to relate well with children so that they can prevent the development of difficult temperament in the early stages of the development of children. If children get harsh treatment from their parents and other people around them, they may develop antisocial behavior.</w:t>
      </w:r>
    </w:p>
    <w:p>
      <w:pPr>
        <w:pStyle w:val="style179"/>
        <w:numPr>
          <w:ilvl w:val="0"/>
          <w:numId w:val="2"/>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Intense </w:t>
      </w:r>
      <w:r>
        <w:rPr>
          <w:rFonts w:ascii="Times New Roman" w:cs="Times New Roman" w:hAnsi="Times New Roman"/>
          <w:sz w:val="24"/>
          <w:szCs w:val="24"/>
        </w:rPr>
        <w:t>attachments of caregivers to the children contribute</w:t>
      </w:r>
      <w:r>
        <w:rPr>
          <w:rFonts w:ascii="Times New Roman" w:cs="Times New Roman" w:hAnsi="Times New Roman"/>
          <w:sz w:val="24"/>
          <w:szCs w:val="24"/>
        </w:rPr>
        <w:t xml:space="preserve"> significantly to the development of social adults. However, if the attachment is weak, children may have delinquency problems later in their lives.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Some states made policies that ensured parents and guardians took care of the children, which were their responsibility. In situations where children lacked any parent or guardian to take care of them, most governments chipped in to provide adoption for such children (Jonson-Reid et al., 2018). For instance, a Hawaii program gave lifetime guardians to children who were orphaned or destitute and were at the risk of experiencing abuse; the program has served to, in a general sense, lessen maltreatment and negligence of children. Therefore, the children grew up experiencing love and care, and thus, they could not indulge in moral decadence at their tender age. The program helped minors to develop their personalities under the guidance of adoptive families. Other, forty states had foster programs to help children escape the dangers of abuse or neglect at home. The research asserted that various countries had initiated salary deduction from particular industries to support early childhood programs. For example, Georgia saved state resources to support the bringing up of pre-children and plans for four years. Colorado appointed a touch of its lousy behavior shirking resources for early youth ventures, and California incorporated 50-penny charge cigarettes to help first-child headway organizations (similarly as smoking balancing activity programs). Also, in 2008, Illinois established the Commission on Children and Youth and invested its Early Learning.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2.    Truancy and School Dropout Prevention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research held that there are some community factors which help in reducing the case of absenteeism. The community needs to ensure that all youth attend school. Some children may fail to attend school so that they can look after their sick parents or close relatives</w:t>
      </w:r>
      <w:r>
        <w:rPr>
          <w:rFonts w:ascii="Times New Roman" w:cs="Times New Roman" w:hAnsi="Times New Roman"/>
          <w:sz w:val="24"/>
          <w:szCs w:val="24"/>
        </w:rPr>
        <w:t xml:space="preserve"> </w:t>
      </w:r>
      <w:r>
        <w:rPr>
          <w:rFonts w:ascii="Times New Roman" w:cs="Times New Roman" w:hAnsi="Times New Roman"/>
          <w:sz w:val="24"/>
          <w:szCs w:val="24"/>
        </w:rPr>
        <w:t>(Bennett et al., 2018)</w:t>
      </w:r>
      <w:r>
        <w:rPr>
          <w:rFonts w:ascii="Times New Roman" w:cs="Times New Roman" w:hAnsi="Times New Roman"/>
          <w:sz w:val="24"/>
          <w:szCs w:val="24"/>
        </w:rPr>
        <w:t xml:space="preserve">. The community should chip in to provide treatment and other relevant support. This kind of support will improve school attendance. The city should reduce cases of dispute between the youth and their home or schools. Chaos at home may make a learner drop in academic performance and therefore, develop resistance to studying. For these reasons, the particular youth will not maintain consistency in school attendance. Also, the community should reduce cases of delinquency within it. Majority of the child may fear to travel to school alone prevailing delinquency in the society. Therefore, leaders at the community level should mobilize people to stop incidences of misconduct. For instance, in Dallas, the community liaised with the police in reducing gang-related crimes that fueled truancy. When minor fails to report to school without the knowledge of parents, guardians and the teachers, there are likely some impeding immoral acts by the minors. The behavior pattern of the particular child may have changed because he or she fights with a specific developmental disability. For this reason, many states lawmaking bodies have focused on keeping an eye on truancy and constraining school dropout rates (Bennett et al., 2018).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According to the research, a couple of states researched on school dropout and graduation rates to determine the morality of the minors and the impending danger associated with lack of education. For example, California passed an understudy support rule in 2009 to need the manager to introduce a yearly report on understudies who drop out. In 2009, the state of Colorado implemented a law that punished students from truancy. The state began a neutralizing </w:t>
      </w:r>
      <w:r>
        <w:rPr>
          <w:rFonts w:ascii="Times New Roman" w:cs="Times New Roman" w:hAnsi="Times New Roman"/>
          <w:sz w:val="24"/>
          <w:szCs w:val="24"/>
        </w:rPr>
        <w:t xml:space="preserve">activity experiment program guided by the Department of Education to reduce drop-out rates. Also, Colorado set an office of dropout neutralizing activity and understudies re-responsibility inside its Department of Education. The working environment was characteristic of reduced understudy drop-out rates and extending graduation rates (Bennett et al., 2018). Finally, the research found that Colorado made a private youth challenge corps program that gives nourishment exclusively to in- threat youth, including the people who are routinely truant.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3.    The use of Evidence-Based Programs Models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When the effectiveness of a program is evaluated using scientific research, then the application becomes evidence-based</w:t>
      </w:r>
      <w:r>
        <w:rPr>
          <w:rFonts w:ascii="Times New Roman" w:cs="Times New Roman" w:hAnsi="Times New Roman"/>
          <w:sz w:val="24"/>
          <w:szCs w:val="24"/>
        </w:rPr>
        <w:t xml:space="preserve"> </w:t>
      </w:r>
      <w:r>
        <w:rPr>
          <w:rFonts w:ascii="Times New Roman" w:cs="Times New Roman" w:hAnsi="Times New Roman"/>
          <w:sz w:val="24"/>
          <w:szCs w:val="24"/>
        </w:rPr>
        <w:t>(Bennett et al., 2018)</w:t>
      </w:r>
      <w:r>
        <w:rPr>
          <w:rFonts w:ascii="Times New Roman" w:cs="Times New Roman" w:hAnsi="Times New Roman"/>
          <w:sz w:val="24"/>
          <w:szCs w:val="24"/>
        </w:rPr>
        <w:t xml:space="preserve">.  However, study showed that the implementation of evidence-based programs faces a lot of challenges. These challenges include insufficient funds, lack of skills, and knowledge to run youth programs. Most states do not have strategies to source funds for the programs and </w:t>
      </w:r>
      <w:r>
        <w:rPr>
          <w:rFonts w:ascii="Times New Roman" w:cs="Times New Roman" w:hAnsi="Times New Roman"/>
          <w:sz w:val="24"/>
          <w:szCs w:val="24"/>
        </w:rPr>
        <w:t>contractible</w:t>
      </w:r>
      <w:r>
        <w:rPr>
          <w:rFonts w:ascii="Times New Roman" w:cs="Times New Roman" w:hAnsi="Times New Roman"/>
          <w:sz w:val="24"/>
          <w:szCs w:val="24"/>
        </w:rPr>
        <w:t xml:space="preserve"> agencies to conduct the plans nationwide. Amid the challenges, state policymakers, juvenile agency administrators should first identify and fund Evidence-Based programs.  In order to achieve this goal, the agencies and policymakers need to liaise with researchers in the field of juvenile justice and rehabilitation so that they can adopt models that are useful</w:t>
      </w:r>
      <w:r>
        <w:rPr>
          <w:rFonts w:ascii="Times New Roman" w:cs="Times New Roman" w:hAnsi="Times New Roman"/>
          <w:sz w:val="24"/>
          <w:szCs w:val="24"/>
        </w:rPr>
        <w:t xml:space="preserve"> </w:t>
      </w:r>
      <w:r>
        <w:rPr>
          <w:rFonts w:ascii="Times New Roman" w:cs="Times New Roman" w:hAnsi="Times New Roman"/>
          <w:sz w:val="24"/>
          <w:szCs w:val="24"/>
        </w:rPr>
        <w:t>(Bennett et al., 2018)</w:t>
      </w:r>
      <w:r>
        <w:rPr>
          <w:rFonts w:ascii="Times New Roman" w:cs="Times New Roman" w:hAnsi="Times New Roman"/>
          <w:sz w:val="24"/>
          <w:szCs w:val="24"/>
        </w:rPr>
        <w:t xml:space="preserve">. Also, they need to know which organization qualifies for contracts about the evidence-based programs. Secondly, they need to assess the intervention needs of the youth and select the candidates for the programs carefully. The juvenile justice agencies need to establish service providers’ registries, which describe clearly the nature of their program and their target population. In addition, they need to come up with policies and tools for case- planning.  According to the data collected, different social institutions dealing with juvenile offenders use the Evidence-Based Programs Model to prevent the occurrences of juvenile delinquencies. The two major used models include functional family </w:t>
      </w:r>
      <w:r>
        <w:rPr>
          <w:rFonts w:ascii="Times New Roman" w:cs="Times New Roman" w:hAnsi="Times New Roman"/>
          <w:sz w:val="24"/>
          <w:szCs w:val="24"/>
        </w:rPr>
        <w:t>therapy (FFT) and Multisystem therapy (MST). People use the two to impact positively on recidivism (Bennett et al., 2018). FFT target to change the behavior of minors with delinquencies, violence or substance abuse while the MST give knowledge to parents, teachers and other members of the community on how to manage the behavior of the minors at home, school or any different social setting. The two approaches provide problem-solving skills to both the adults and the juveniles. States that use the EBP model include Florida, Pennsylvania, and Washington.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Discussion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research found that parents and guardians responsible for taking care of children sometimes fail to interact with their children due to the demands of their work. As a result, children only get the guidance of teachers at school but lack parental guidance at home. According to data collected about the involvement of state governments in curbing juvenile delinquency, various states had laws that controlled the bringing up of children both at home and school. For instance, some states line the Hawaii, Colorado, Florida, Pennsylvania, and Washington cared for minor citizens by working together with families, schools, and NGOs to safeguard the welfare of children. By doing so, developmental disabilities of the minor got corrected; thus, it was thought to bring about the reformation of behavior. The research revealed that the school strictly addresses the issue of truancy, and this helps reduce cases of school dropouts and increases the chance for students to graduate. For this reason, the research held that juvenile delinquencies reduce since the minors stay engaged.</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Suffice it to conclude that, social institutions like the family, school, church, state governments, and the NGOs plays a big role in the intervening with Juvenile delinquencies and the build of a generation of people who are socially fit.  If many minors morality degrades, then the entire society suffers the destruction of resources caused by illegal and overdependence of significant portion of the population. Success and prosperity of any states lie in the moral uprightness of all the citizens and therefore, intervening with delinquencies will enable the society to correct children at early stages. Therefore, the step to address the problem of juvenile delinquency and disability must involve the collaborative efforts of various stakeholders in the community and at home to eradicate or reduce the involvement in criminal or delinquent behaviors.</w:t>
      </w: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Bennett, S., </w:t>
      </w:r>
      <w:r>
        <w:rPr>
          <w:rFonts w:ascii="Times New Roman" w:cs="Times New Roman" w:hAnsi="Times New Roman"/>
          <w:color w:val="222222"/>
          <w:sz w:val="24"/>
          <w:szCs w:val="24"/>
          <w:shd w:val="clear" w:color="auto" w:fill="ffffff"/>
        </w:rPr>
        <w:t>Mazerolle</w:t>
      </w:r>
      <w:r>
        <w:rPr>
          <w:rFonts w:ascii="Times New Roman" w:cs="Times New Roman" w:hAnsi="Times New Roman"/>
          <w:color w:val="222222"/>
          <w:sz w:val="24"/>
          <w:szCs w:val="24"/>
          <w:shd w:val="clear" w:color="auto" w:fill="ffffff"/>
        </w:rPr>
        <w:t xml:space="preserve">, L., </w:t>
      </w:r>
      <w:r>
        <w:rPr>
          <w:rFonts w:ascii="Times New Roman" w:cs="Times New Roman" w:hAnsi="Times New Roman"/>
          <w:color w:val="222222"/>
          <w:sz w:val="24"/>
          <w:szCs w:val="24"/>
          <w:shd w:val="clear" w:color="auto" w:fill="ffffff"/>
        </w:rPr>
        <w:t>Antrobus</w:t>
      </w:r>
      <w:r>
        <w:rPr>
          <w:rFonts w:ascii="Times New Roman" w:cs="Times New Roman" w:hAnsi="Times New Roman"/>
          <w:color w:val="222222"/>
          <w:sz w:val="24"/>
          <w:szCs w:val="24"/>
          <w:shd w:val="clear" w:color="auto" w:fill="ffffff"/>
        </w:rPr>
        <w:t xml:space="preserve">, E., </w:t>
      </w:r>
      <w:r>
        <w:rPr>
          <w:rFonts w:ascii="Times New Roman" w:cs="Times New Roman" w:hAnsi="Times New Roman"/>
          <w:color w:val="222222"/>
          <w:sz w:val="24"/>
          <w:szCs w:val="24"/>
          <w:shd w:val="clear" w:color="auto" w:fill="ffffff"/>
        </w:rPr>
        <w:t>Eggins</w:t>
      </w:r>
      <w:r>
        <w:rPr>
          <w:rFonts w:ascii="Times New Roman" w:cs="Times New Roman" w:hAnsi="Times New Roman"/>
          <w:color w:val="222222"/>
          <w:sz w:val="24"/>
          <w:szCs w:val="24"/>
          <w:shd w:val="clear" w:color="auto" w:fill="ffffff"/>
        </w:rPr>
        <w:t xml:space="preserve">, E., &amp; </w:t>
      </w:r>
      <w:r>
        <w:rPr>
          <w:rFonts w:ascii="Times New Roman" w:cs="Times New Roman" w:hAnsi="Times New Roman"/>
          <w:color w:val="222222"/>
          <w:sz w:val="24"/>
          <w:szCs w:val="24"/>
          <w:shd w:val="clear" w:color="auto" w:fill="ffffff"/>
        </w:rPr>
        <w:t>Piquero</w:t>
      </w:r>
      <w:r>
        <w:rPr>
          <w:rFonts w:ascii="Times New Roman" w:cs="Times New Roman" w:hAnsi="Times New Roman"/>
          <w:color w:val="222222"/>
          <w:sz w:val="24"/>
          <w:szCs w:val="24"/>
          <w:shd w:val="clear" w:color="auto" w:fill="ffffff"/>
        </w:rPr>
        <w:t>, A. R. (2018).</w:t>
      </w:r>
      <w:r>
        <w:rPr>
          <w:rFonts w:ascii="Times New Roman" w:cs="Times New Roman" w:hAnsi="Times New Roman"/>
          <w:color w:val="222222"/>
          <w:sz w:val="24"/>
          <w:szCs w:val="24"/>
          <w:shd w:val="clear" w:color="auto" w:fill="ffffff"/>
        </w:rPr>
        <w:t xml:space="preserve"> Truancy intervention reduces crime: Results from a randomized field trial. Justice Quarterly, 35(2), 309-329.</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Burfeind</w:t>
      </w:r>
      <w:r>
        <w:rPr>
          <w:rFonts w:ascii="Times New Roman" w:cs="Times New Roman" w:hAnsi="Times New Roman"/>
          <w:color w:val="222222"/>
          <w:sz w:val="24"/>
          <w:szCs w:val="24"/>
          <w:shd w:val="clear" w:color="auto" w:fill="ffffff"/>
        </w:rPr>
        <w:t xml:space="preserve">, J. W., &amp; </w:t>
      </w:r>
      <w:r>
        <w:rPr>
          <w:rFonts w:ascii="Times New Roman" w:cs="Times New Roman" w:hAnsi="Times New Roman"/>
          <w:color w:val="222222"/>
          <w:sz w:val="24"/>
          <w:szCs w:val="24"/>
          <w:shd w:val="clear" w:color="auto" w:fill="ffffff"/>
        </w:rPr>
        <w:t>Bartusch</w:t>
      </w:r>
      <w:r>
        <w:rPr>
          <w:rFonts w:ascii="Times New Roman" w:cs="Times New Roman" w:hAnsi="Times New Roman"/>
          <w:color w:val="222222"/>
          <w:sz w:val="24"/>
          <w:szCs w:val="24"/>
          <w:shd w:val="clear" w:color="auto" w:fill="ffffff"/>
        </w:rPr>
        <w:t>, D. J. (2011).</w:t>
      </w:r>
      <w:r>
        <w:rPr>
          <w:rFonts w:ascii="Times New Roman" w:cs="Times New Roman" w:hAnsi="Times New Roman"/>
          <w:color w:val="222222"/>
          <w:sz w:val="24"/>
          <w:szCs w:val="24"/>
          <w:shd w:val="clear" w:color="auto" w:fill="ffffff"/>
        </w:rPr>
        <w:t xml:space="preserve"> Juvenile delinquency: An integrated approach. Sudbury, Mss: Jones and Bartlett Publishers.</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Greenwald, R. (2014). Trauma and Juvenile Delinquency: Theory, Research, and Interventions. Hoboken: Taylor and Francis.</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Jonson-Reid, M., </w:t>
      </w:r>
      <w:r>
        <w:rPr>
          <w:rFonts w:ascii="Times New Roman" w:cs="Times New Roman" w:hAnsi="Times New Roman"/>
          <w:color w:val="222222"/>
          <w:sz w:val="24"/>
          <w:szCs w:val="24"/>
          <w:shd w:val="clear" w:color="auto" w:fill="ffffff"/>
        </w:rPr>
        <w:t>Dunnigan</w:t>
      </w:r>
      <w:r>
        <w:rPr>
          <w:rFonts w:ascii="Times New Roman" w:cs="Times New Roman" w:hAnsi="Times New Roman"/>
          <w:color w:val="222222"/>
          <w:sz w:val="24"/>
          <w:szCs w:val="24"/>
          <w:shd w:val="clear" w:color="auto" w:fill="ffffff"/>
        </w:rPr>
        <w:t>, A., &amp; Ryan, J. (2018).</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Foster Care and Juvenile Justice Systems.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Handbook of foster youth, 456.</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Krohn</w:t>
      </w:r>
      <w:r>
        <w:rPr>
          <w:rFonts w:ascii="Times New Roman" w:cs="Times New Roman" w:hAnsi="Times New Roman"/>
          <w:color w:val="222222"/>
          <w:sz w:val="24"/>
          <w:szCs w:val="24"/>
          <w:shd w:val="clear" w:color="auto" w:fill="ffffff"/>
        </w:rPr>
        <w:t>, M. D., &amp; Lane, J. (2015).</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The handbook of juvenile delinquency and juvenile justice.</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Piquero</w:t>
      </w:r>
      <w:r>
        <w:rPr>
          <w:rFonts w:ascii="Times New Roman" w:cs="Times New Roman" w:hAnsi="Times New Roman"/>
          <w:color w:val="222222"/>
          <w:sz w:val="24"/>
          <w:szCs w:val="24"/>
          <w:shd w:val="clear" w:color="auto" w:fill="ffffff"/>
        </w:rPr>
        <w:t>, A. R., Jennings, W. G., Diamond, B., Farrington, D. P., Tremblay, R. E., Welsh, B. C., &amp; Gonzalez, J. M. R. (2016). A meta-analysis update on the effects of early family/parent training programs on antisocial behavior and delinquency. Journal of Experimental Criminology, 12(2), 229-248.</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Underwood, L., &amp; Washington, A. (2016).</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Mental illness and juvenile offenders.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International journal of environmental research and public health, 13(2), 228.</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JUVENILE DELIQUENCY: INTERVETION</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11</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JUVENILE DELIQUENCY: INTERVENTION</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25CF8F6"/>
    <w:lvl w:ilvl="0" w:tplc="2E249736">
      <w:start w:val="1"/>
      <w:numFmt w:val="lowerLetter"/>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0000001"/>
    <w:multiLevelType w:val="hybridMultilevel"/>
    <w:tmpl w:val="47C49B14"/>
    <w:lvl w:ilvl="0" w:tplc="6E80C5BC">
      <w:start w:val="1"/>
      <w:numFmt w:val="lowerLetter"/>
      <w:lvlText w:val="%1."/>
      <w:lvlJc w:val="left"/>
      <w:pPr>
        <w:ind w:left="945" w:hanging="58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5608893-58bc-4790-90af-c422d17aa42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0efb17f-ece4-4918-9406-cf59e502b405"/>
    <w:basedOn w:val="style65"/>
    <w:next w:val="style4098"/>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2542</Words>
  <Pages>11</Pages>
  <Characters>14344</Characters>
  <Application>WPS Office</Application>
  <DocSecurity>0</DocSecurity>
  <Paragraphs>71</Paragraphs>
  <ScaleCrop>false</ScaleCrop>
  <LinksUpToDate>false</LinksUpToDate>
  <CharactersWithSpaces>17043</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2019-07-30T16:21:58Z</dcterms:created>
  <dc:creator>TECRA_M11</dc:creator>
  <lastModifiedBy>JKM-LX1</lastModifiedBy>
  <dcterms:modified xsi:type="dcterms:W3CDTF">2019-07-30T16:21:58Z</dcterms:modified>
  <revision>23</revision>
</coreProperties>
</file>

<file path=docProps/custom.xml><?xml version="1.0" encoding="utf-8"?>
<Properties xmlns="http://schemas.openxmlformats.org/officeDocument/2006/custom-properties" xmlns:vt="http://schemas.openxmlformats.org/officeDocument/2006/docPropsVTypes"/>
</file>